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63" w:rsidRDefault="00B531C7" w:rsidP="00B531C7">
      <w:pPr>
        <w:pStyle w:val="NoSpacing"/>
        <w:ind w:left="630"/>
        <w:jc w:val="center"/>
      </w:pPr>
      <w:r>
        <w:rPr>
          <w:noProof/>
        </w:rPr>
        <w:drawing>
          <wp:inline distT="0" distB="0" distL="0" distR="0">
            <wp:extent cx="1279274" cy="708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 Logo 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37" cy="70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9A" w:rsidRDefault="003E7A9A" w:rsidP="00B531C7">
      <w:pPr>
        <w:pStyle w:val="NoSpacing"/>
        <w:ind w:left="630"/>
        <w:jc w:val="center"/>
      </w:pPr>
    </w:p>
    <w:p w:rsidR="003E7A9A" w:rsidRDefault="003E7A9A" w:rsidP="00B531C7">
      <w:pPr>
        <w:pStyle w:val="NoSpacing"/>
        <w:ind w:left="630"/>
        <w:jc w:val="center"/>
      </w:pPr>
    </w:p>
    <w:p w:rsidR="00B531C7" w:rsidRDefault="003E7A9A" w:rsidP="001758C8">
      <w:pPr>
        <w:pStyle w:val="NoSpacing"/>
        <w:rPr>
          <w:b/>
          <w:szCs w:val="24"/>
        </w:rPr>
      </w:pPr>
      <w:r>
        <w:rPr>
          <w:b/>
          <w:sz w:val="28"/>
          <w:szCs w:val="28"/>
        </w:rPr>
        <w:t>SUBJECT: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Cs w:val="24"/>
        </w:rPr>
        <w:t>Nondiscrimination Policy Statement</w:t>
      </w:r>
    </w:p>
    <w:p w:rsidR="003E7A9A" w:rsidRDefault="003E7A9A" w:rsidP="001758C8">
      <w:pPr>
        <w:pStyle w:val="NoSpacing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Equal Employment Opportunity</w:t>
      </w:r>
    </w:p>
    <w:p w:rsidR="003E7A9A" w:rsidRDefault="003E7A9A" w:rsidP="001758C8">
      <w:pPr>
        <w:pStyle w:val="NoSpacing"/>
        <w:rPr>
          <w:b/>
          <w:szCs w:val="24"/>
        </w:rPr>
      </w:pPr>
    </w:p>
    <w:p w:rsidR="003E7A9A" w:rsidRDefault="003E7A9A" w:rsidP="001758C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2F05">
        <w:rPr>
          <w:b/>
          <w:szCs w:val="24"/>
        </w:rPr>
        <w:t>Staff</w:t>
      </w:r>
      <w:r>
        <w:rPr>
          <w:sz w:val="28"/>
          <w:szCs w:val="28"/>
        </w:rPr>
        <w:t xml:space="preserve"> </w:t>
      </w:r>
    </w:p>
    <w:p w:rsidR="003E7A9A" w:rsidRDefault="003E7A9A" w:rsidP="001758C8">
      <w:pPr>
        <w:pStyle w:val="NoSpacing"/>
        <w:rPr>
          <w:sz w:val="28"/>
          <w:szCs w:val="28"/>
        </w:rPr>
      </w:pPr>
    </w:p>
    <w:p w:rsidR="003E7A9A" w:rsidRPr="003E7A9A" w:rsidRDefault="003E7A9A" w:rsidP="001758C8">
      <w:pPr>
        <w:pStyle w:val="NoSpacing"/>
        <w:rPr>
          <w:b/>
          <w:szCs w:val="24"/>
        </w:rPr>
      </w:pPr>
      <w:r w:rsidRPr="003E7A9A">
        <w:rPr>
          <w:b/>
          <w:sz w:val="28"/>
          <w:szCs w:val="28"/>
        </w:rPr>
        <w:t>From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7A9A">
        <w:rPr>
          <w:b/>
          <w:szCs w:val="24"/>
        </w:rPr>
        <w:t>Peter W. Grim</w:t>
      </w:r>
    </w:p>
    <w:p w:rsidR="003E7A9A" w:rsidRDefault="003E7A9A" w:rsidP="001758C8">
      <w:pPr>
        <w:pStyle w:val="NoSpacing"/>
        <w:rPr>
          <w:b/>
          <w:szCs w:val="24"/>
        </w:rPr>
      </w:pPr>
      <w:r w:rsidRPr="003E7A9A">
        <w:rPr>
          <w:b/>
          <w:szCs w:val="24"/>
        </w:rPr>
        <w:tab/>
      </w:r>
      <w:r w:rsidRPr="003E7A9A">
        <w:rPr>
          <w:b/>
          <w:szCs w:val="24"/>
        </w:rPr>
        <w:tab/>
      </w:r>
      <w:r w:rsidRPr="003E7A9A">
        <w:rPr>
          <w:b/>
          <w:szCs w:val="24"/>
        </w:rPr>
        <w:tab/>
        <w:t>Executive Director</w:t>
      </w:r>
    </w:p>
    <w:p w:rsidR="00356B5B" w:rsidRDefault="00356B5B" w:rsidP="001758C8">
      <w:pPr>
        <w:pStyle w:val="NoSpacing"/>
        <w:rPr>
          <w:b/>
          <w:szCs w:val="24"/>
        </w:rPr>
      </w:pPr>
    </w:p>
    <w:p w:rsidR="00356B5B" w:rsidRPr="003E7A9A" w:rsidRDefault="00356B5B" w:rsidP="001758C8">
      <w:pPr>
        <w:pStyle w:val="NoSpacing"/>
        <w:rPr>
          <w:b/>
          <w:szCs w:val="24"/>
        </w:rPr>
      </w:pPr>
    </w:p>
    <w:p w:rsidR="003E7A9A" w:rsidRPr="003E7A9A" w:rsidRDefault="003E7A9A" w:rsidP="001758C8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F3164" w:rsidRDefault="003F3164" w:rsidP="00927F70">
      <w:pPr>
        <w:pStyle w:val="NoSpacing"/>
        <w:rPr>
          <w:rFonts w:cs="Times New Roman"/>
          <w:b/>
          <w:sz w:val="28"/>
          <w:szCs w:val="28"/>
        </w:rPr>
      </w:pPr>
    </w:p>
    <w:p w:rsidR="003F3164" w:rsidRDefault="00175424" w:rsidP="00927F7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An open and equitable personnel system will be established and maintained. Personnel policies, procedures and practices will be designed to prohibit discrimination on the basis of race</w:t>
      </w:r>
      <w:r w:rsidR="003F3164">
        <w:rPr>
          <w:rFonts w:cs="Times New Roman"/>
          <w:szCs w:val="24"/>
        </w:rPr>
        <w:t>, color, religious creed, disability, a</w:t>
      </w:r>
      <w:r>
        <w:rPr>
          <w:rFonts w:cs="Times New Roman"/>
          <w:szCs w:val="24"/>
        </w:rPr>
        <w:t>ncestry, national origin</w:t>
      </w:r>
      <w:r w:rsidR="003F3164">
        <w:rPr>
          <w:rFonts w:cs="Times New Roman"/>
          <w:szCs w:val="24"/>
        </w:rPr>
        <w:t xml:space="preserve"> age or sex. </w:t>
      </w:r>
    </w:p>
    <w:p w:rsidR="003F3164" w:rsidRDefault="003F3164" w:rsidP="00927F70">
      <w:pPr>
        <w:pStyle w:val="NoSpacing"/>
        <w:rPr>
          <w:rFonts w:cs="Times New Roman"/>
          <w:szCs w:val="24"/>
        </w:rPr>
      </w:pPr>
    </w:p>
    <w:p w:rsidR="003F3164" w:rsidRDefault="003F3164" w:rsidP="00927F7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Employment opportunities </w:t>
      </w:r>
      <w:r w:rsidR="00175424">
        <w:rPr>
          <w:rFonts w:cs="Times New Roman"/>
          <w:szCs w:val="24"/>
        </w:rPr>
        <w:t>shall be</w:t>
      </w:r>
      <w:r w:rsidR="00A2207F">
        <w:rPr>
          <w:rFonts w:cs="Times New Roman"/>
          <w:szCs w:val="24"/>
        </w:rPr>
        <w:t xml:space="preserve"> provided for applicants wit</w:t>
      </w:r>
      <w:r>
        <w:rPr>
          <w:rFonts w:cs="Times New Roman"/>
          <w:szCs w:val="24"/>
        </w:rPr>
        <w:t xml:space="preserve">h disabilities and reasonable accommodation(s) </w:t>
      </w:r>
      <w:r w:rsidR="00A2207F">
        <w:rPr>
          <w:rFonts w:cs="Times New Roman"/>
          <w:szCs w:val="24"/>
        </w:rPr>
        <w:t>shall be made to meet the</w:t>
      </w:r>
      <w:r w:rsidR="00602F05">
        <w:rPr>
          <w:rFonts w:cs="Times New Roman"/>
          <w:szCs w:val="24"/>
        </w:rPr>
        <w:t xml:space="preserve"> physical or mental limitations </w:t>
      </w:r>
      <w:r w:rsidR="00A2207F">
        <w:rPr>
          <w:rFonts w:cs="Times New Roman"/>
          <w:szCs w:val="24"/>
        </w:rPr>
        <w:t xml:space="preserve">of qualified applicants or employees. </w:t>
      </w:r>
    </w:p>
    <w:p w:rsidR="00A2207F" w:rsidRDefault="00A2207F" w:rsidP="00927F70">
      <w:pPr>
        <w:pStyle w:val="NoSpacing"/>
        <w:rPr>
          <w:rFonts w:cs="Times New Roman"/>
          <w:szCs w:val="24"/>
        </w:rPr>
      </w:pPr>
    </w:p>
    <w:p w:rsidR="00A2207F" w:rsidRDefault="00A2207F" w:rsidP="00927F70">
      <w:pPr>
        <w:pStyle w:val="NoSpacing"/>
        <w:rPr>
          <w:rFonts w:cs="Times New Roman"/>
          <w:szCs w:val="24"/>
        </w:rPr>
      </w:pPr>
    </w:p>
    <w:p w:rsidR="00A2207F" w:rsidRDefault="00175424" w:rsidP="00927F7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Any </w:t>
      </w:r>
      <w:proofErr w:type="gramStart"/>
      <w:r>
        <w:rPr>
          <w:rFonts w:cs="Times New Roman"/>
          <w:szCs w:val="24"/>
        </w:rPr>
        <w:t>employee</w:t>
      </w:r>
      <w:proofErr w:type="gramEnd"/>
      <w:r w:rsidR="00A2207F">
        <w:rPr>
          <w:rFonts w:cs="Times New Roman"/>
          <w:szCs w:val="24"/>
        </w:rPr>
        <w:t xml:space="preserve"> who believes that they have been discriminated against, may file a complaint of discrimination with the following:</w:t>
      </w:r>
    </w:p>
    <w:p w:rsidR="00A2207F" w:rsidRDefault="00A2207F" w:rsidP="00927F70">
      <w:pPr>
        <w:pStyle w:val="NoSpacing"/>
        <w:rPr>
          <w:rFonts w:cs="Times New Roman"/>
          <w:szCs w:val="24"/>
        </w:rPr>
      </w:pPr>
    </w:p>
    <w:p w:rsidR="00A2207F" w:rsidRDefault="00A2207F" w:rsidP="00927F7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The Common Place</w:t>
      </w:r>
      <w:r w:rsidR="003C3180">
        <w:rPr>
          <w:rFonts w:cs="Times New Roman"/>
          <w:szCs w:val="24"/>
        </w:rPr>
        <w:tab/>
      </w:r>
      <w:r w:rsidR="003C3180">
        <w:rPr>
          <w:rFonts w:cs="Times New Roman"/>
          <w:szCs w:val="24"/>
        </w:rPr>
        <w:tab/>
      </w:r>
      <w:r w:rsidR="003C3180">
        <w:rPr>
          <w:rFonts w:cs="Times New Roman"/>
          <w:szCs w:val="24"/>
        </w:rPr>
        <w:tab/>
      </w:r>
      <w:r w:rsidR="003C3180">
        <w:rPr>
          <w:rFonts w:cs="Times New Roman"/>
          <w:szCs w:val="24"/>
        </w:rPr>
        <w:tab/>
      </w:r>
      <w:r w:rsidR="003C3180">
        <w:rPr>
          <w:rFonts w:cs="Times New Roman"/>
          <w:szCs w:val="24"/>
        </w:rPr>
        <w:tab/>
        <w:t>PA Human Relations Commission</w:t>
      </w:r>
    </w:p>
    <w:p w:rsidR="003C3180" w:rsidRDefault="00A2207F" w:rsidP="00927F7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Peter W. Grim, Executive Director</w:t>
      </w:r>
      <w:r w:rsidR="00602F05">
        <w:rPr>
          <w:rFonts w:cs="Times New Roman"/>
          <w:szCs w:val="24"/>
        </w:rPr>
        <w:tab/>
      </w:r>
      <w:r w:rsidR="00602F05">
        <w:rPr>
          <w:rFonts w:cs="Times New Roman"/>
          <w:szCs w:val="24"/>
        </w:rPr>
        <w:tab/>
      </w:r>
      <w:r w:rsidR="00602F05">
        <w:rPr>
          <w:rFonts w:cs="Times New Roman"/>
          <w:szCs w:val="24"/>
        </w:rPr>
        <w:tab/>
        <w:t>Philadelphia</w:t>
      </w:r>
      <w:r w:rsidR="003C3180">
        <w:rPr>
          <w:rFonts w:cs="Times New Roman"/>
          <w:szCs w:val="24"/>
        </w:rPr>
        <w:t xml:space="preserve"> Regional Office</w:t>
      </w:r>
    </w:p>
    <w:p w:rsidR="00A2207F" w:rsidRDefault="003C3180" w:rsidP="00927F7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5736 Chester</w:t>
      </w:r>
      <w:r w:rsidR="00175424">
        <w:rPr>
          <w:rFonts w:cs="Times New Roman"/>
          <w:szCs w:val="24"/>
        </w:rPr>
        <w:t xml:space="preserve"> Avenue</w:t>
      </w:r>
      <w:proofErr w:type="gramStart"/>
      <w:r w:rsidR="00602F05">
        <w:rPr>
          <w:rFonts w:cs="Times New Roman"/>
          <w:szCs w:val="24"/>
        </w:rPr>
        <w:tab/>
      </w:r>
      <w:r w:rsidR="00602F05">
        <w:rPr>
          <w:rFonts w:cs="Times New Roman"/>
          <w:szCs w:val="24"/>
        </w:rPr>
        <w:tab/>
      </w:r>
      <w:r w:rsidR="00602F05">
        <w:rPr>
          <w:rFonts w:cs="Times New Roman"/>
          <w:szCs w:val="24"/>
        </w:rPr>
        <w:tab/>
      </w:r>
      <w:r w:rsidR="00602F05">
        <w:rPr>
          <w:rFonts w:cs="Times New Roman"/>
          <w:szCs w:val="24"/>
        </w:rPr>
        <w:tab/>
      </w:r>
      <w:r w:rsidR="00602F05">
        <w:rPr>
          <w:rFonts w:cs="Times New Roman"/>
          <w:szCs w:val="24"/>
        </w:rPr>
        <w:tab/>
      </w:r>
      <w:r w:rsidR="00175424">
        <w:rPr>
          <w:rFonts w:cs="Times New Roman"/>
          <w:szCs w:val="24"/>
        </w:rPr>
        <w:t>110 N. 8</w:t>
      </w:r>
      <w:r w:rsidR="00175424" w:rsidRPr="00175424">
        <w:rPr>
          <w:rFonts w:cs="Times New Roman"/>
          <w:szCs w:val="24"/>
          <w:vertAlign w:val="superscript"/>
        </w:rPr>
        <w:t>th</w:t>
      </w:r>
      <w:r w:rsidR="00175424">
        <w:rPr>
          <w:rFonts w:cs="Times New Roman"/>
          <w:szCs w:val="24"/>
        </w:rPr>
        <w:t xml:space="preserve"> Street</w:t>
      </w:r>
      <w:proofErr w:type="gramEnd"/>
    </w:p>
    <w:p w:rsidR="00602F05" w:rsidRDefault="003C3180" w:rsidP="00927F7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Philadelphia, PA 19143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02F05">
        <w:rPr>
          <w:rFonts w:cs="Times New Roman"/>
          <w:szCs w:val="24"/>
        </w:rPr>
        <w:t>Suite 501</w:t>
      </w:r>
    </w:p>
    <w:p w:rsidR="003C3180" w:rsidRDefault="00602F05" w:rsidP="00602F05">
      <w:pPr>
        <w:pStyle w:val="NoSpacing"/>
        <w:ind w:left="43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Philadelphia, PA 19107</w:t>
      </w:r>
    </w:p>
    <w:p w:rsidR="00602F05" w:rsidRDefault="00602F05" w:rsidP="00602F05">
      <w:pPr>
        <w:pStyle w:val="NoSpacing"/>
        <w:ind w:firstLine="720"/>
        <w:rPr>
          <w:rFonts w:cs="Times New Roman"/>
          <w:szCs w:val="24"/>
        </w:rPr>
      </w:pPr>
    </w:p>
    <w:p w:rsidR="00602F05" w:rsidRDefault="00602F05" w:rsidP="00602F05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U.S Department of Health and Human Services</w:t>
      </w:r>
      <w:r>
        <w:rPr>
          <w:rFonts w:cs="Times New Roman"/>
          <w:szCs w:val="24"/>
        </w:rPr>
        <w:tab/>
        <w:t>Commonwealth of Pennsylvania</w:t>
      </w:r>
    </w:p>
    <w:p w:rsidR="003C3180" w:rsidRDefault="00602F05" w:rsidP="00927F7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Office for Civil Rights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DHS Bureau of Equal Opportunity</w:t>
      </w:r>
    </w:p>
    <w:p w:rsidR="00602F05" w:rsidRDefault="00602F05" w:rsidP="00927F7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Suite 372, Public Ledger Bldg.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Southeast Regional Office</w:t>
      </w:r>
    </w:p>
    <w:p w:rsidR="00602F05" w:rsidRDefault="00602F05" w:rsidP="00927F7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150 South Independence Mall West</w:t>
      </w:r>
      <w:proofErr w:type="gramStart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801 Market Street</w:t>
      </w:r>
      <w:proofErr w:type="gramEnd"/>
    </w:p>
    <w:p w:rsidR="00602F05" w:rsidRDefault="00602F05" w:rsidP="00927F7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Philadelphia, PA 19106-9111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Philadelphia, PA 19107</w:t>
      </w:r>
    </w:p>
    <w:p w:rsidR="00602F05" w:rsidRDefault="00602F05" w:rsidP="00927F70">
      <w:pPr>
        <w:pStyle w:val="NoSpacing"/>
        <w:rPr>
          <w:rFonts w:cs="Times New Roman"/>
          <w:szCs w:val="24"/>
        </w:rPr>
      </w:pPr>
    </w:p>
    <w:p w:rsidR="00602F05" w:rsidRDefault="00602F05" w:rsidP="00927F70">
      <w:pPr>
        <w:pStyle w:val="NoSpacing"/>
        <w:rPr>
          <w:rFonts w:cs="Times New Roman"/>
          <w:szCs w:val="24"/>
        </w:rPr>
      </w:pPr>
    </w:p>
    <w:p w:rsidR="00602F05" w:rsidRDefault="00602F05" w:rsidP="00927F70">
      <w:pPr>
        <w:pStyle w:val="NoSpacing"/>
        <w:rPr>
          <w:rFonts w:cs="Times New Roman"/>
          <w:szCs w:val="24"/>
        </w:rPr>
      </w:pPr>
    </w:p>
    <w:p w:rsidR="00602F05" w:rsidRDefault="00602F05" w:rsidP="00927F70">
      <w:pPr>
        <w:pStyle w:val="NoSpacing"/>
        <w:rPr>
          <w:rFonts w:cs="Times New Roman"/>
          <w:szCs w:val="24"/>
        </w:rPr>
      </w:pPr>
      <w:bookmarkStart w:id="0" w:name="_GoBack"/>
      <w:bookmarkEnd w:id="0"/>
    </w:p>
    <w:p w:rsidR="00602F05" w:rsidRDefault="00602F05" w:rsidP="00927F70">
      <w:pPr>
        <w:pStyle w:val="NoSpacing"/>
        <w:rPr>
          <w:rFonts w:cs="Times New Roman"/>
          <w:szCs w:val="24"/>
        </w:rPr>
      </w:pPr>
    </w:p>
    <w:p w:rsidR="00602F05" w:rsidRDefault="00602F05" w:rsidP="00927F70">
      <w:pPr>
        <w:pStyle w:val="NoSpacing"/>
        <w:rPr>
          <w:rFonts w:cs="Times New Roman"/>
          <w:szCs w:val="24"/>
        </w:rPr>
      </w:pPr>
    </w:p>
    <w:p w:rsidR="00602F05" w:rsidRDefault="00602F05" w:rsidP="00927F70">
      <w:pPr>
        <w:pStyle w:val="NoSpacing"/>
        <w:rPr>
          <w:rFonts w:cs="Times New Roman"/>
          <w:szCs w:val="24"/>
        </w:rPr>
      </w:pPr>
    </w:p>
    <w:p w:rsidR="00602F05" w:rsidRDefault="00602F05" w:rsidP="00927F70">
      <w:pPr>
        <w:pStyle w:val="NoSpacing"/>
        <w:rPr>
          <w:rFonts w:cs="Times New Roman"/>
          <w:szCs w:val="24"/>
        </w:rPr>
      </w:pPr>
    </w:p>
    <w:p w:rsidR="00602F05" w:rsidRDefault="00602F05" w:rsidP="00927F70">
      <w:pPr>
        <w:pStyle w:val="NoSpacing"/>
        <w:rPr>
          <w:rFonts w:cs="Times New Roman"/>
          <w:szCs w:val="24"/>
        </w:rPr>
      </w:pPr>
    </w:p>
    <w:p w:rsidR="00602F05" w:rsidRDefault="00602F05" w:rsidP="00927F70">
      <w:pPr>
        <w:pStyle w:val="NoSpacing"/>
        <w:rPr>
          <w:rFonts w:cs="Times New Roman"/>
          <w:szCs w:val="24"/>
        </w:rPr>
      </w:pPr>
    </w:p>
    <w:p w:rsidR="000F0558" w:rsidRPr="000F0558" w:rsidRDefault="001758C8" w:rsidP="001758C8">
      <w:pPr>
        <w:pStyle w:val="NoSpacing"/>
        <w:ind w:right="-360"/>
        <w:jc w:val="center"/>
        <w:rPr>
          <w:rFonts w:ascii="Arial" w:hAnsi="Arial" w:cs="Arial"/>
          <w:color w:val="548DD4" w:themeColor="text2" w:themeTint="99"/>
          <w:sz w:val="18"/>
          <w:szCs w:val="18"/>
        </w:rPr>
      </w:pPr>
      <w:r w:rsidRPr="000F0558">
        <w:rPr>
          <w:rFonts w:ascii="Arial" w:hAnsi="Arial" w:cs="Arial"/>
          <w:color w:val="548DD4" w:themeColor="text2" w:themeTint="99"/>
          <w:sz w:val="18"/>
          <w:szCs w:val="18"/>
        </w:rPr>
        <w:t>P.O. Box 5415, Philadelphia, PA  19143</w:t>
      </w:r>
    </w:p>
    <w:p w:rsidR="002924E9" w:rsidRPr="000F0558" w:rsidRDefault="001748F4" w:rsidP="000F0558">
      <w:pPr>
        <w:pStyle w:val="NoSpacing"/>
        <w:ind w:right="-360"/>
        <w:jc w:val="center"/>
        <w:rPr>
          <w:rFonts w:asciiTheme="minorHAnsi" w:hAnsiTheme="minorHAnsi"/>
          <w:color w:val="548DD4" w:themeColor="text2" w:themeTint="99"/>
          <w:sz w:val="22"/>
        </w:rPr>
      </w:pPr>
      <w:r>
        <w:rPr>
          <w:rFonts w:ascii="Arial" w:hAnsi="Arial" w:cs="Arial"/>
          <w:color w:val="548DD4" w:themeColor="text2" w:themeTint="99"/>
          <w:sz w:val="18"/>
          <w:szCs w:val="18"/>
        </w:rPr>
        <w:t>267-275-</w:t>
      </w:r>
      <w:proofErr w:type="gramStart"/>
      <w:r>
        <w:rPr>
          <w:rFonts w:ascii="Arial" w:hAnsi="Arial" w:cs="Arial"/>
          <w:color w:val="548DD4" w:themeColor="text2" w:themeTint="99"/>
          <w:sz w:val="18"/>
          <w:szCs w:val="18"/>
        </w:rPr>
        <w:t xml:space="preserve">8238 </w:t>
      </w:r>
      <w:r w:rsidR="001758C8" w:rsidRPr="000F0558">
        <w:rPr>
          <w:rFonts w:ascii="Arial" w:hAnsi="Arial" w:cs="Arial"/>
          <w:color w:val="548DD4" w:themeColor="text2" w:themeTint="99"/>
          <w:sz w:val="18"/>
          <w:szCs w:val="18"/>
        </w:rPr>
        <w:t>.</w:t>
      </w:r>
      <w:proofErr w:type="gramEnd"/>
      <w:r w:rsidR="001758C8" w:rsidRPr="000F0558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  <w:hyperlink r:id="rId9" w:history="1">
        <w:r w:rsidR="001758C8" w:rsidRPr="000F0558">
          <w:rPr>
            <w:rStyle w:val="Hyperlink"/>
            <w:rFonts w:ascii="Arial" w:hAnsi="Arial" w:cs="Arial"/>
            <w:color w:val="548DD4" w:themeColor="text2" w:themeTint="99"/>
            <w:sz w:val="18"/>
            <w:szCs w:val="18"/>
          </w:rPr>
          <w:t>thecommonplacephilly@gmail.com</w:t>
        </w:r>
      </w:hyperlink>
      <w:r w:rsidR="001758C8" w:rsidRPr="000F0558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  <w:r w:rsidR="000F0558" w:rsidRPr="000F0558">
        <w:rPr>
          <w:rFonts w:ascii="Arial" w:hAnsi="Arial" w:cs="Arial"/>
          <w:color w:val="548DD4" w:themeColor="text2" w:themeTint="99"/>
          <w:sz w:val="18"/>
          <w:szCs w:val="18"/>
        </w:rPr>
        <w:t xml:space="preserve">. </w:t>
      </w:r>
      <w:hyperlink r:id="rId10" w:history="1">
        <w:r w:rsidR="000F0558" w:rsidRPr="000F0558">
          <w:rPr>
            <w:rStyle w:val="Hyperlink"/>
            <w:rFonts w:ascii="Arial" w:hAnsi="Arial" w:cs="Arial"/>
            <w:color w:val="548DD4" w:themeColor="text2" w:themeTint="99"/>
            <w:sz w:val="18"/>
            <w:szCs w:val="18"/>
          </w:rPr>
          <w:t>www.thecommonplacephilly.org</w:t>
        </w:r>
      </w:hyperlink>
      <w:r w:rsidR="001758C8" w:rsidRPr="000F0558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</w:p>
    <w:sectPr w:rsidR="002924E9" w:rsidRPr="000F0558" w:rsidSect="003C318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FB" w:rsidRDefault="001445FB" w:rsidP="003C3180">
      <w:pPr>
        <w:spacing w:after="0" w:line="240" w:lineRule="auto"/>
      </w:pPr>
      <w:r>
        <w:separator/>
      </w:r>
    </w:p>
  </w:endnote>
  <w:endnote w:type="continuationSeparator" w:id="0">
    <w:p w:rsidR="001445FB" w:rsidRDefault="001445FB" w:rsidP="003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FB" w:rsidRDefault="001445FB" w:rsidP="003C3180">
      <w:pPr>
        <w:spacing w:after="0" w:line="240" w:lineRule="auto"/>
      </w:pPr>
      <w:r>
        <w:separator/>
      </w:r>
    </w:p>
  </w:footnote>
  <w:footnote w:type="continuationSeparator" w:id="0">
    <w:p w:rsidR="001445FB" w:rsidRDefault="001445FB" w:rsidP="003C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BE4"/>
    <w:multiLevelType w:val="hybridMultilevel"/>
    <w:tmpl w:val="A79A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6B49"/>
    <w:multiLevelType w:val="hybridMultilevel"/>
    <w:tmpl w:val="B718C770"/>
    <w:lvl w:ilvl="0" w:tplc="2766DA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5A5A10"/>
    <w:multiLevelType w:val="hybridMultilevel"/>
    <w:tmpl w:val="A87A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A"/>
    <w:rsid w:val="00005E63"/>
    <w:rsid w:val="000177DE"/>
    <w:rsid w:val="0008427F"/>
    <w:rsid w:val="000B1B0A"/>
    <w:rsid w:val="000F0558"/>
    <w:rsid w:val="001445FB"/>
    <w:rsid w:val="001748F4"/>
    <w:rsid w:val="00175424"/>
    <w:rsid w:val="001758C8"/>
    <w:rsid w:val="00197192"/>
    <w:rsid w:val="002924E9"/>
    <w:rsid w:val="00305E10"/>
    <w:rsid w:val="00334169"/>
    <w:rsid w:val="00356B5B"/>
    <w:rsid w:val="00393547"/>
    <w:rsid w:val="003B212C"/>
    <w:rsid w:val="003C3180"/>
    <w:rsid w:val="003D701C"/>
    <w:rsid w:val="003E7A9A"/>
    <w:rsid w:val="003F3164"/>
    <w:rsid w:val="00602F05"/>
    <w:rsid w:val="0068204A"/>
    <w:rsid w:val="006B1F29"/>
    <w:rsid w:val="00722522"/>
    <w:rsid w:val="0079360D"/>
    <w:rsid w:val="007E1C35"/>
    <w:rsid w:val="00853B22"/>
    <w:rsid w:val="008D141E"/>
    <w:rsid w:val="008E222B"/>
    <w:rsid w:val="00927F70"/>
    <w:rsid w:val="009B3822"/>
    <w:rsid w:val="00A2207F"/>
    <w:rsid w:val="00A74707"/>
    <w:rsid w:val="00B055B0"/>
    <w:rsid w:val="00B531C7"/>
    <w:rsid w:val="00B538E0"/>
    <w:rsid w:val="00B574EC"/>
    <w:rsid w:val="00B95F26"/>
    <w:rsid w:val="00C14EF2"/>
    <w:rsid w:val="00DC1AE6"/>
    <w:rsid w:val="00E107C7"/>
    <w:rsid w:val="00EA7146"/>
    <w:rsid w:val="00EF12D3"/>
    <w:rsid w:val="00F17976"/>
    <w:rsid w:val="00F234CF"/>
    <w:rsid w:val="00F9187E"/>
    <w:rsid w:val="00F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0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80"/>
  </w:style>
  <w:style w:type="paragraph" w:styleId="Footer">
    <w:name w:val="footer"/>
    <w:basedOn w:val="Normal"/>
    <w:link w:val="FooterChar"/>
    <w:uiPriority w:val="99"/>
    <w:unhideWhenUsed/>
    <w:rsid w:val="003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0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80"/>
  </w:style>
  <w:style w:type="paragraph" w:styleId="Footer">
    <w:name w:val="footer"/>
    <w:basedOn w:val="Normal"/>
    <w:link w:val="FooterChar"/>
    <w:uiPriority w:val="99"/>
    <w:unhideWhenUsed/>
    <w:rsid w:val="003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commonplacephill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commonplacephil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Pwgrim</dc:creator>
  <cp:lastModifiedBy>Owner</cp:lastModifiedBy>
  <cp:revision>2</cp:revision>
  <cp:lastPrinted>2017-01-03T19:08:00Z</cp:lastPrinted>
  <dcterms:created xsi:type="dcterms:W3CDTF">2017-01-03T19:08:00Z</dcterms:created>
  <dcterms:modified xsi:type="dcterms:W3CDTF">2017-01-03T19:08:00Z</dcterms:modified>
</cp:coreProperties>
</file>